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3"/>
        <w:tblW w:w="15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37"/>
        <w:gridCol w:w="730"/>
        <w:gridCol w:w="1118"/>
        <w:gridCol w:w="998"/>
        <w:gridCol w:w="1170"/>
        <w:gridCol w:w="1244"/>
        <w:gridCol w:w="1228"/>
        <w:gridCol w:w="1728"/>
        <w:gridCol w:w="1481"/>
        <w:gridCol w:w="1163"/>
        <w:gridCol w:w="1501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528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第十四届中青年教师讲课大赛参赛教师名单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专业技术职务等级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申报组别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参赛课程名称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参赛课程所属学科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教师所在院部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参与校赛等级（初赛/复赛/决赛）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情况（决赛）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52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本表包括校赛所有参赛教师信息（含未获校级奖参赛教师信息）。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2.若不够填写，请自行添加行数。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专业技术职务等级：正高、副高、中级及以下。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参赛课程所属学科：01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哲学、02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经济学、03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法学、04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教育学、05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文学、06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历史学、07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理学、08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工学、09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农学、10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医学、12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管理学、13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艺术学、14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交叉学科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both"/>
        <w:textAlignment w:val="auto"/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eastAsia="zh-CN"/>
        </w:r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第十四届中青年教师讲课大赛课程思政创新成果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支撑材料目录</w:t>
      </w:r>
    </w:p>
    <w:p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一、主讲教师代表性教学获奖（课程思政创新）成果信息（不超过5项）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475"/>
        <w:gridCol w:w="1976"/>
        <w:gridCol w:w="1473"/>
        <w:gridCol w:w="1473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获奖年月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成果名称（内容）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奖项类别与等级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颁奖单位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参赛教师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排名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600" w:firstLineChars="200"/>
        <w:jc w:val="left"/>
        <w:rPr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二、人才培养成果证明材料（不超过5项）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color w:val="000000"/>
          <w:kern w:val="0"/>
          <w:sz w:val="35"/>
          <w:szCs w:val="35"/>
          <w:lang w:val="en-US" w:eastAsia="zh-CN" w:bidi="ar"/>
        </w:rPr>
        <w:t>郑州工商学院第十四届中青年教师教学讲课大赛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黑体" w:hAnsi="宋体" w:eastAsia="黑体" w:cs="黑体"/>
          <w:color w:val="000000"/>
          <w:kern w:val="0"/>
          <w:sz w:val="52"/>
          <w:szCs w:val="5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52"/>
          <w:szCs w:val="52"/>
          <w:lang w:val="en-US" w:eastAsia="zh-CN" w:bidi="ar"/>
        </w:rPr>
        <w:t>课程思政创新报告</w:t>
      </w:r>
      <w:r>
        <w:rPr>
          <w:rFonts w:ascii="黑体" w:hAnsi="宋体" w:eastAsia="黑体" w:cs="黑体"/>
          <w:color w:val="000000"/>
          <w:kern w:val="0"/>
          <w:sz w:val="52"/>
          <w:szCs w:val="52"/>
          <w:lang w:val="en-US" w:eastAsia="zh-CN" w:bidi="ar"/>
        </w:rPr>
        <w:t>（也可自拟题目）</w:t>
      </w:r>
    </w:p>
    <w:p>
      <w:pPr>
        <w:jc w:val="center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ind w:firstLine="1920" w:firstLineChars="600"/>
        <w:jc w:val="left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单位（学院）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firstLine="1920" w:firstLineChars="600"/>
        <w:jc w:val="left"/>
        <w:rPr>
          <w:rFonts w:hint="default" w:ascii="仿宋_GB2312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 xml:space="preserve">姓  名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1920" w:firstLineChars="600"/>
        <w:jc w:val="left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 xml:space="preserve">工  号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1920" w:firstLineChars="600"/>
        <w:jc w:val="left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 xml:space="preserve">课  程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2240" w:firstLineChars="700"/>
        <w:jc w:val="left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</w:p>
    <w:p>
      <w:pPr>
        <w:ind w:firstLine="2240" w:firstLineChars="700"/>
        <w:jc w:val="left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</w:p>
    <w:p>
      <w:pPr>
        <w:ind w:firstLine="2240" w:firstLineChars="700"/>
        <w:jc w:val="left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</w:p>
    <w:p>
      <w:pPr>
        <w:ind w:firstLine="2240" w:firstLineChars="700"/>
        <w:jc w:val="left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</w:p>
    <w:p>
      <w:pPr>
        <w:ind w:firstLine="2240" w:firstLineChars="700"/>
        <w:jc w:val="left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2024年4月8日</w:t>
      </w:r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jc w:val="center"/>
        <w:textAlignment w:val="auto"/>
        <w:outlineLvl w:val="9"/>
        <w:rPr>
          <w:rFonts w:hint="eastAsia" w:ascii="黑体" w:hAnsi="Times New Roman" w:eastAsia="黑体" w:cs="Times New Roman"/>
          <w:spacing w:val="-6"/>
          <w:sz w:val="44"/>
          <w:szCs w:val="44"/>
          <w:lang w:val="en-US" w:eastAsia="zh-CN"/>
        </w:rPr>
      </w:pPr>
      <w:r>
        <w:rPr>
          <w:rFonts w:hint="eastAsia" w:ascii="黑体" w:hAnsi="Times New Roman" w:eastAsia="黑体" w:cs="Times New Roman"/>
          <w:spacing w:val="-6"/>
          <w:sz w:val="44"/>
          <w:szCs w:val="44"/>
          <w:lang w:val="en-US" w:eastAsia="zh-CN"/>
        </w:rPr>
        <w:t>题目按照此格式写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摘要：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××××××××××××××××××××××××××××××××××××××××××××××××××××××××××××××××××××××××××（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  <w:t>正文：仿宋三号，首行缩进2字符，行间距1.45倍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关键词：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×××；×××；×××；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jc w:val="left"/>
        <w:textAlignment w:val="auto"/>
      </w:pPr>
      <w:r>
        <w:rPr>
          <w:rFonts w:hint="eastAsia" w:ascii="黑体" w:hAnsi="Times New Roman" w:eastAsia="黑体" w:cs="Times New Roman"/>
          <w:b/>
          <w:bCs/>
          <w:spacing w:val="-10"/>
          <w:sz w:val="32"/>
          <w:szCs w:val="32"/>
          <w:lang w:val="en-US" w:eastAsia="zh-CN"/>
        </w:rPr>
        <w:t>一、一级标题</w:t>
      </w:r>
      <w:r>
        <w:rPr>
          <w:rFonts w:hint="eastAsia" w:ascii="黑体" w:hAnsi="Times New Roman" w:eastAsia="黑体" w:cs="Times New Roman"/>
          <w:b/>
          <w:bCs/>
          <w:color w:val="FF0000"/>
          <w:spacing w:val="-10"/>
          <w:sz w:val="32"/>
          <w:szCs w:val="32"/>
          <w:lang w:val="en-US" w:eastAsia="zh-CN"/>
        </w:rPr>
        <w:t>（</w:t>
      </w:r>
      <w:r>
        <w:rPr>
          <w:rFonts w:hint="eastAsia" w:ascii="黑体" w:hAnsi="宋体" w:eastAsia="黑体" w:cs="黑体"/>
          <w:color w:val="FF0000"/>
          <w:kern w:val="0"/>
          <w:sz w:val="31"/>
          <w:szCs w:val="31"/>
          <w:lang w:val="en-US" w:eastAsia="zh-CN" w:bidi="ar"/>
        </w:rPr>
        <w:t>一级标题：黑体三号）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0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FF0000"/>
          <w:spacing w:val="-1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10"/>
          <w:sz w:val="32"/>
          <w:szCs w:val="32"/>
          <w:lang w:val="en-US" w:eastAsia="zh-CN"/>
        </w:rPr>
        <w:t>（一）二级标题</w:t>
      </w:r>
      <w:r>
        <w:rPr>
          <w:rFonts w:hint="eastAsia" w:ascii="楷体" w:hAnsi="楷体" w:eastAsia="楷体" w:cs="楷体"/>
          <w:b/>
          <w:bCs/>
          <w:color w:val="FF0000"/>
          <w:spacing w:val="-10"/>
          <w:sz w:val="32"/>
          <w:szCs w:val="32"/>
          <w:lang w:val="en-US" w:eastAsia="zh-CN"/>
        </w:rPr>
        <w:t>（二级标题：楷体三号加粗）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××××××××××××××××××××××××××××××××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 xml:space="preserve"> （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  <w:t>正文：仿宋三号，首行缩进2字符，行间距1.45倍）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1.三级标题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 w:bidi="ar"/>
        </w:rPr>
        <w:t>（三级标题：仿宋三号加粗）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（1）四级标题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 w:bidi="ar"/>
        </w:rPr>
        <w:t>（四级标题：仿宋三号加粗）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u w:val="none"/>
          <w:lang w:val="en-US" w:eastAsia="zh-CN"/>
        </w:rPr>
        <w:sectPr>
          <w:pgSz w:w="11906" w:h="16838"/>
          <w:pgMar w:top="1134" w:right="1633" w:bottom="567" w:left="163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×××××××××××××××××××××××××××××××××××××××××××××××××××××××××××××××××××××××××××××××××××××××××××××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4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24"/>
          <w:highlight w:val="none"/>
          <w:lang w:val="en-US" w:eastAsia="zh-CN"/>
        </w:rPr>
        <w:t xml:space="preserve">4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center"/>
        <w:textAlignment w:val="auto"/>
        <w:rPr>
          <w:rFonts w:hint="eastAsia" w:ascii="仿宋_GB2312" w:hAnsi="仿宋_GB2312" w:eastAsia="方正小标宋简体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</w:rPr>
        <w:t>第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十四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</w:rPr>
        <w:t>届中青年教师讲课大赛评分标准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eastAsia="zh-CN"/>
        </w:rPr>
        <w:t>（课程思政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组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eastAsia="zh-CN"/>
        </w:rPr>
        <w:t>）</w:t>
      </w:r>
    </w:p>
    <w:tbl>
      <w:tblPr>
        <w:tblStyle w:val="3"/>
        <w:tblW w:w="98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8215"/>
        <w:gridCol w:w="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评测要求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课程思政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有明确的问题导向：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体现课程思政特色：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以落实立德树人根本任务为导向，立足于学科专业的育人特点和要求，发现和解决本课程开展课堂思政教学过程中的真实问题。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有明显的创新特色：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创新效果：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说课环节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教学目标分析。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教学目标分析能够体现学生知识与技能、过程与方法以及情感态度价值观的养成，目标描述具体，可达成；学情分析客观准确；能够基于教学目标和学情确定教学内容以及教学重点、难点。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教学过程描述。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教学过程反映教学创新理念；能够和教学难重点呼应；教学策略、教学方法等能够有效支撑教学活动，促进教学目标的达成；教学评价体现过程性评价等新理念。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教学创新点。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教学内容、教学模式、教学方法、教学过程、教学评价等方面有所创新，体现“学生中心、产出导向、持续改进”的教学理念。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课堂教学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教学理念：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坚持立德树人，坚持“以学生发展为中心”，将价值塑造、知识传授和能力培养融为一体，充分发挥课程育人作用。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  <w:jc w:val="center"/>
        </w:trPr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教学内容。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坚持思想性和学术性相统一，教学内容及资源优质适用，能够将思政教育与专业教育紧密结合，帮助学生丰富学识、增长见识、塑造品格；坚持正确方向和正面导向，深入挖掘课程自身蕴含的思政资源，并科学有机融入教学内容体系，不做不恰当的延伸，体现思想性、时代性和专业特色；教学内容满足行业与社会需求，关注学生已有知识和经验，关注学科专业发展前沿，教学重点难点处理恰当，体现高阶性、创新性与挑战度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宋体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教学组织。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教学组织有序，注重以学生为中心，体现教师主导、学生主体，能够寓价值观引导于知识传授和能力培养之中；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教学安排合理，教学方法恰当，能够激发学生学习兴趣，引导学生深入思考，体现针对性、互动性和启发性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信息技术的使用合理有效，实现信息技术与课堂教学的有机融合，有力支持教学创新；教学考核评价内容科学、方式创新，注重对学生素质、知识、能力的全方位评价，注重形成性评价与生成性问题的解决和应用。板书设计合理，简洁、工整、美观（授课课件上的标注也可视为板书）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宋体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教学效果。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语言简洁、流畅、准确、生动，语速节奏恰当；教学内容、方法及实施过程遵循教学理念，高效达成教学目标，达到如盐化水、润物无声的效果，有效实现教书、育人相统一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课堂讲授富有吸引力，课堂气氛积极热烈，学生深度参与课堂，积极性和活跃度高，学生素质、知识和能力得到发展和提高。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评委提问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准确理解问题，回答切中问题关键，逻辑性强，言简意赅。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评委签名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590959-6FC7-4D82-B52C-AB11FE2C9B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3E3079B-6D72-4BBF-8360-B29FB768418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FCEAEB4-94FE-43EB-BD3F-08364879D0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E97CF02-56A3-4B62-97D4-70147C97284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B17BF82-62AA-4A37-958F-1D9351BFDF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mQwMGNjZjgxZTI2OTFiNDQyYmYyZjQ2NmFiZDQifQ=="/>
  </w:docVars>
  <w:rsids>
    <w:rsidRoot w:val="00000000"/>
    <w:rsid w:val="00A85D5A"/>
    <w:rsid w:val="03CD222F"/>
    <w:rsid w:val="063901C2"/>
    <w:rsid w:val="077D07AC"/>
    <w:rsid w:val="09E63F32"/>
    <w:rsid w:val="101F00E0"/>
    <w:rsid w:val="148000B2"/>
    <w:rsid w:val="171535F4"/>
    <w:rsid w:val="17D10799"/>
    <w:rsid w:val="18EC4DAF"/>
    <w:rsid w:val="193E0CB8"/>
    <w:rsid w:val="1CC63804"/>
    <w:rsid w:val="1DC323E3"/>
    <w:rsid w:val="1E7F5DA4"/>
    <w:rsid w:val="201101B2"/>
    <w:rsid w:val="241C64B9"/>
    <w:rsid w:val="2556149D"/>
    <w:rsid w:val="295722F1"/>
    <w:rsid w:val="2B6239F3"/>
    <w:rsid w:val="2CCE2260"/>
    <w:rsid w:val="2EBF00B3"/>
    <w:rsid w:val="31532109"/>
    <w:rsid w:val="392A4A96"/>
    <w:rsid w:val="41095EB6"/>
    <w:rsid w:val="42B3296D"/>
    <w:rsid w:val="45021147"/>
    <w:rsid w:val="4537679D"/>
    <w:rsid w:val="467852BF"/>
    <w:rsid w:val="48F75C9D"/>
    <w:rsid w:val="4BD27220"/>
    <w:rsid w:val="4C8D3966"/>
    <w:rsid w:val="5139646B"/>
    <w:rsid w:val="517448D5"/>
    <w:rsid w:val="5272350A"/>
    <w:rsid w:val="56BC4559"/>
    <w:rsid w:val="58347770"/>
    <w:rsid w:val="586A54EA"/>
    <w:rsid w:val="591A36DA"/>
    <w:rsid w:val="5C333797"/>
    <w:rsid w:val="5CDD5FC5"/>
    <w:rsid w:val="5CE272B0"/>
    <w:rsid w:val="64283A29"/>
    <w:rsid w:val="664B713F"/>
    <w:rsid w:val="67DF69A0"/>
    <w:rsid w:val="6A5662E4"/>
    <w:rsid w:val="71481A14"/>
    <w:rsid w:val="71D21478"/>
    <w:rsid w:val="71EC3FF4"/>
    <w:rsid w:val="740F0761"/>
    <w:rsid w:val="77F33444"/>
    <w:rsid w:val="789D28F5"/>
    <w:rsid w:val="79CE4C1B"/>
    <w:rsid w:val="7D4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customStyle="1" w:styleId="7">
    <w:name w:val="font0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508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2023-04-20T06:30:00Z</dcterms:created>
  <dc:creator>shou'jia'nan</dc:creator>
  <cp:lastModifiedBy>夏雪</cp:lastModifiedBy>
  <dcterms:modified xsi:type="dcterms:W3CDTF">2024-04-30T00:11:18Z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783E57844D454DF69540F3F2F3548878_13</vt:lpwstr>
  </property>
</Properties>
</file>